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2263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center"/>
        <w:textAlignment w:val="auto"/>
        <w:rPr>
          <w:highlight w:val="none"/>
        </w:rPr>
      </w:pPr>
      <w:r>
        <w:rPr>
          <w:rFonts w:hint="eastAsia"/>
          <w:highlight w:val="none"/>
          <w:lang w:eastAsia="zh-CN"/>
        </w:rPr>
        <w:t>《</w:t>
      </w:r>
      <w:r>
        <w:rPr>
          <w:rFonts w:hint="eastAsia"/>
          <w:highlight w:val="none"/>
          <w:lang w:val="en-US" w:eastAsia="zh-CN"/>
        </w:rPr>
        <w:t>医疗纠纷防范及处置规范</w:t>
      </w:r>
      <w:r>
        <w:rPr>
          <w:rFonts w:hint="eastAsia"/>
          <w:highlight w:val="none"/>
          <w:lang w:eastAsia="zh-CN"/>
        </w:rPr>
        <w:t>》</w:t>
      </w:r>
      <w:r>
        <w:rPr>
          <w:highlight w:val="none"/>
        </w:rPr>
        <w:t>编制说明</w:t>
      </w:r>
    </w:p>
    <w:p w14:paraId="24AD4723">
      <w:pPr>
        <w:keepNext w:val="0"/>
        <w:keepLines w:val="0"/>
        <w:pageBreakBefore w:val="0"/>
        <w:kinsoku/>
        <w:wordWrap/>
        <w:overflowPunct/>
        <w:topLinePunct w:val="0"/>
        <w:autoSpaceDE/>
        <w:autoSpaceDN/>
        <w:bidi w:val="0"/>
        <w:adjustRightInd/>
        <w:snapToGrid/>
        <w:spacing w:beforeAutospacing="0" w:afterAutospacing="0" w:line="460" w:lineRule="exact"/>
        <w:jc w:val="center"/>
        <w:textAlignment w:val="auto"/>
        <w:rPr>
          <w:rFonts w:hint="eastAsia"/>
          <w:highlight w:val="none"/>
          <w:lang w:eastAsia="zh-CN"/>
        </w:rPr>
      </w:pPr>
    </w:p>
    <w:p w14:paraId="339FEDB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highlight w:val="none"/>
          <w:lang w:eastAsia="zh-CN"/>
        </w:rPr>
      </w:pPr>
      <w:r>
        <w:rPr>
          <w:highlight w:val="none"/>
        </w:rPr>
        <w:t>1 工作简况</w:t>
      </w:r>
    </w:p>
    <w:p w14:paraId="4BDF818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《医疗纠纷防范及处置规范》（T/SZSMDA 016—2026）由北京大学深圳医院、深圳市妇幼保健院等13家单位共同起草，深圳市医师协会归口。该标准于2026年1月14日申请立项，2026年3月3日获批（深医协〔2026〕14号），2026年6月2日发布，6月5日实施。编制历经调研、草案、公开征求意见（30日）、技术审查等程序，遵循合规性、市场导向、技术先进、公平竞争原则，依据GB/T 1.1—2020起草。标准内容涵盖医疗纠纷防范与处置全流程，包括医疗机构建设、依法执业、风险识别、病案管理、医患沟通、纠纷接待、应急处置、多元化解、证据固定、责任评估及档案归档等14章及10个附录，填补了深圳医疗纠纷全流程标准化空白。标准与现行法规和标准协调一致，无重大分歧。建议加强宣贯培训，推动实施，适时转化为更高层级标准。</w:t>
      </w:r>
    </w:p>
    <w:p w14:paraId="1010E1E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highlight w:val="none"/>
        </w:rPr>
        <w:t>1.1 任务来源</w:t>
      </w:r>
    </w:p>
    <w:p w14:paraId="138D13E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说明本团体标准立项来源，如社会团体自主立项、会员单位提案、行业发展需求、政府部门建议等；写明立项时间、立项审议情况，依据《团体标准管理规定》第十四条履行团体内部立项程序。</w:t>
      </w:r>
      <w:r>
        <w:rPr>
          <w:rFonts w:hint="eastAsia" w:ascii="仿宋" w:hAnsi="仿宋" w:eastAsia="仿宋" w:cs="仿宋"/>
          <w:sz w:val="28"/>
          <w:szCs w:val="28"/>
          <w:highlight w:val="none"/>
          <w:lang w:eastAsia="zh-CN"/>
        </w:rPr>
        <w:t>）</w:t>
      </w:r>
    </w:p>
    <w:p w14:paraId="41963BA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医疗纠纷是</w:t>
      </w:r>
      <w:r>
        <w:rPr>
          <w:rFonts w:hint="eastAsia" w:ascii="仿宋" w:hAnsi="仿宋" w:eastAsia="仿宋" w:cs="仿宋"/>
          <w:sz w:val="28"/>
          <w:szCs w:val="28"/>
          <w:highlight w:val="none"/>
          <w:lang w:eastAsia="zh-CN"/>
        </w:rPr>
        <w:t>反映</w:t>
      </w:r>
      <w:r>
        <w:rPr>
          <w:rFonts w:hint="eastAsia" w:ascii="仿宋" w:hAnsi="仿宋" w:eastAsia="仿宋" w:cs="仿宋"/>
          <w:sz w:val="28"/>
          <w:szCs w:val="28"/>
          <w:highlight w:val="none"/>
        </w:rPr>
        <w:t>医疗机构医疗质量与安全和患者满意度的“晴雨表”，近年来，随着医疗技术的快速发展和患者维权意识的增强，医疗纠纷呈递增趋势，2024年国内医疗纠纷案件数量达到13.1万件，较上一年度增长26.8%，国家陆续出台《医疗事故处理条例》《医疗纠纷预防和处理条例》《医疗机构投诉管理办法》等文件，一方面强调医疗纠纷的预防前置，另一方面明确了医疗纠纷处理的原则、途径和程序，进一步完善医疗纠纷多元化解机制；2013年，《广东省医疗纠纷预防与处理办法》正式施行，细化了医调委人民调解和医疗责任保险实施相关规定，为广东省医疗纠纷预防与处理工作提供了省级层面的指导框架；2017年，《深圳经济特区医疗条例》正式施行，2023年完成修订稿并实施，这是全国首部地方性医疗法规。</w:t>
      </w:r>
    </w:p>
    <w:p w14:paraId="2476F57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尽管广东省和深圳市在医疗纠纷管理上有诸多创新，但深圳作为我国经济特区和粤港澳大湾区核心城市，面临的医疗纠纷呈现跨境性、技术复杂性和高发多样性特点，医疗机构在医疗纠纷预防与处理上存在如下问题：一是缺乏统一的医疗纠纷投诉受理部门。例如党办负责服务态度的投诉，门诊部负责门诊的投诉、纪检部门负责医德医风的投诉，医务处负责医疗纠纷的投诉，此种分类处理的模式能够发挥各部门的优势，但是容易出现相互推诿的情况。也有医疗机构将社会工作者或者第三方人员负责投诉管理，但是专业性、针对性不强，人员流动较大，不能真正做到“一站式”解决问题。二是医疗纠纷预防意识淡薄，管理部门缺乏明确的职能和定位。医疗纠纷处理部门大多停留在医疗纠纷解决即可的观念，而忽视医疗投诉管理部门是医院重要的医疗风险防范部门这一个事实。因此出现医疗纠纷处理档案的完成、整理和统计数据，而没有发挥应有的反馈和决策的预防参谋作用。三是医疗纠纷处置流程不统一，责任界定模糊。一方面医疗机构的投诉路径各不相同、路径复杂，导致患者投诉无门，容易产生烦躁心理，加剧医疗矛盾的进一步升级；另一方面医疗机构无明确统一的投诉受理、处理流程和工作制度，工作人员的答复随意，调查处理问题不认真、不细致、回复不及时，在一定程度上导致纠纷升级。</w:t>
      </w:r>
    </w:p>
    <w:p w14:paraId="63852B3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综上，目前</w:t>
      </w:r>
      <w:r>
        <w:rPr>
          <w:rFonts w:hint="eastAsia" w:ascii="仿宋" w:hAnsi="仿宋" w:eastAsia="仿宋" w:cs="仿宋"/>
          <w:sz w:val="28"/>
          <w:szCs w:val="28"/>
          <w:highlight w:val="none"/>
          <w:lang w:eastAsia="zh-CN"/>
        </w:rPr>
        <w:t>仅有</w:t>
      </w:r>
      <w:r>
        <w:rPr>
          <w:rFonts w:hint="eastAsia" w:ascii="仿宋" w:hAnsi="仿宋" w:eastAsia="仿宋" w:cs="仿宋"/>
          <w:sz w:val="28"/>
          <w:szCs w:val="28"/>
          <w:highlight w:val="none"/>
        </w:rPr>
        <w:t>法规、条例等规范性文件为深圳医疗纠纷预防和处理提供宏观指导，</w:t>
      </w:r>
      <w:r>
        <w:rPr>
          <w:rFonts w:hint="eastAsia" w:ascii="仿宋" w:hAnsi="仿宋" w:eastAsia="仿宋" w:cs="仿宋"/>
          <w:sz w:val="28"/>
          <w:szCs w:val="28"/>
          <w:highlight w:val="none"/>
          <w:lang w:val="en-US" w:eastAsia="zh-CN"/>
        </w:rPr>
        <w:t>仅《医疗纠纷人民调解》（DB15/T 2070-2021）地方标准针对于“人民调解”进行标准化，</w:t>
      </w:r>
      <w:r>
        <w:rPr>
          <w:rFonts w:hint="eastAsia" w:ascii="仿宋" w:hAnsi="仿宋" w:eastAsia="仿宋" w:cs="仿宋"/>
          <w:sz w:val="28"/>
          <w:szCs w:val="28"/>
          <w:highlight w:val="none"/>
        </w:rPr>
        <w:t>但在具体流程和标准上还不够细致，</w:t>
      </w:r>
      <w:r>
        <w:rPr>
          <w:rFonts w:hint="eastAsia" w:ascii="仿宋" w:hAnsi="仿宋" w:eastAsia="仿宋" w:cs="仿宋"/>
          <w:sz w:val="28"/>
          <w:szCs w:val="28"/>
          <w:highlight w:val="none"/>
          <w:lang w:val="en-US" w:eastAsia="zh-CN"/>
        </w:rPr>
        <w:t>本标准《医疗纠纷防范及处置规范》的编制能够有效填补深圳医疗纠纷预防和处置流程标准化空白，</w:t>
      </w:r>
      <w:r>
        <w:rPr>
          <w:rFonts w:hint="eastAsia" w:ascii="仿宋" w:hAnsi="仿宋" w:eastAsia="仿宋" w:cs="仿宋"/>
          <w:sz w:val="28"/>
          <w:szCs w:val="28"/>
          <w:highlight w:val="none"/>
        </w:rPr>
        <w:t>提高医疗纠纷防范能力，规范纠纷处置流程。</w:t>
      </w:r>
    </w:p>
    <w:p w14:paraId="1DA384F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根据《深圳市医师协会团体标准管理办法（试行）》的要求，编制组2026年1月14日向深圳市医师协会申请立项，2026年3月3日获批立项，立项文件号：深医协〔2026〕14号，标准编号T/SZSMDA 016—2026。本标准由北京大学深圳医院、深圳市妇幼保健院、深圳市医务管理质控中心以及深圳市医师协会医务管理与医疗风险管理专业委员会</w:t>
      </w:r>
      <w:r>
        <w:rPr>
          <w:rFonts w:hint="eastAsia" w:ascii="仿宋" w:hAnsi="仿宋" w:eastAsia="仿宋" w:cs="仿宋"/>
          <w:sz w:val="28"/>
          <w:szCs w:val="28"/>
          <w:highlight w:val="none"/>
          <w:lang w:val="en-US" w:eastAsia="zh-CN"/>
        </w:rPr>
        <w:t>组织开展编制工作</w:t>
      </w:r>
      <w:r>
        <w:rPr>
          <w:rFonts w:hint="eastAsia" w:ascii="仿宋" w:hAnsi="仿宋" w:eastAsia="仿宋" w:cs="仿宋"/>
          <w:sz w:val="28"/>
          <w:szCs w:val="28"/>
          <w:highlight w:val="none"/>
          <w:lang w:eastAsia="zh-CN"/>
        </w:rPr>
        <w:t>，深圳市医师协会归口。</w:t>
      </w:r>
    </w:p>
    <w:p w14:paraId="4881C6C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highlight w:val="none"/>
        </w:rPr>
        <w:t>1.2 起草单位</w:t>
      </w:r>
    </w:p>
    <w:p w14:paraId="7BF4A6D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本团体标准由北京大学深圳医院、深圳市妇幼保健院、深圳市医务管理质控中心、深圳市医师协会医务管理与医疗风险管理专业委员会、</w:t>
      </w:r>
      <w:r>
        <w:rPr>
          <w:rFonts w:hint="eastAsia" w:ascii="仿宋" w:hAnsi="仿宋" w:eastAsia="仿宋" w:cs="仿宋"/>
          <w:sz w:val="28"/>
          <w:szCs w:val="28"/>
          <w:highlight w:val="none"/>
          <w:lang w:val="en-US" w:eastAsia="zh-CN"/>
        </w:rPr>
        <w:t>深圳市宝安区中心医院、深圳市南山区人民医院、深圳市龙岗中心医院、中国医学科学院肿瘤医院深圳医院、中山大学附属第七医院、深圳市眼科医院、深圳大学总医院、深圳市龙岗区人民医院、中山大学附属第八医院、深圳市宝安区妇幼保健院、深圳市龙华区妇幼保健院负责组织起草。</w:t>
      </w:r>
    </w:p>
    <w:p w14:paraId="1F93CAD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highlight w:val="none"/>
        </w:rPr>
      </w:pPr>
      <w:r>
        <w:rPr>
          <w:highlight w:val="none"/>
        </w:rPr>
        <w:t>1.3 主要起草人</w:t>
      </w:r>
    </w:p>
    <w:tbl>
      <w:tblPr>
        <w:tblStyle w:val="7"/>
        <w:tblW w:w="94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8"/>
        <w:gridCol w:w="2477"/>
        <w:gridCol w:w="1667"/>
        <w:gridCol w:w="1483"/>
        <w:gridCol w:w="2706"/>
      </w:tblGrid>
      <w:tr w14:paraId="654C97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1118" w:type="dxa"/>
            <w:tcBorders>
              <w:top w:val="single" w:color="auto" w:sz="4" w:space="0"/>
              <w:left w:val="single" w:color="auto" w:sz="4" w:space="0"/>
              <w:bottom w:val="single" w:color="auto" w:sz="4" w:space="0"/>
              <w:right w:val="single" w:color="auto" w:sz="4" w:space="0"/>
            </w:tcBorders>
            <w:vAlign w:val="center"/>
          </w:tcPr>
          <w:p w14:paraId="5928E200">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易黎</w:t>
            </w:r>
          </w:p>
        </w:tc>
        <w:tc>
          <w:tcPr>
            <w:tcW w:w="2477" w:type="dxa"/>
            <w:tcBorders>
              <w:top w:val="single" w:color="auto" w:sz="4" w:space="0"/>
              <w:left w:val="single" w:color="auto" w:sz="4" w:space="0"/>
              <w:bottom w:val="single" w:color="auto" w:sz="4" w:space="0"/>
              <w:right w:val="single" w:color="auto" w:sz="4" w:space="0"/>
            </w:tcBorders>
            <w:vAlign w:val="center"/>
          </w:tcPr>
          <w:p w14:paraId="10E1464E">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北京大学深圳医院</w:t>
            </w:r>
          </w:p>
        </w:tc>
        <w:tc>
          <w:tcPr>
            <w:tcW w:w="1667" w:type="dxa"/>
            <w:tcBorders>
              <w:top w:val="single" w:color="auto" w:sz="4" w:space="0"/>
              <w:left w:val="single" w:color="auto" w:sz="4" w:space="0"/>
              <w:bottom w:val="single" w:color="auto" w:sz="4" w:space="0"/>
              <w:right w:val="single" w:color="auto" w:sz="4" w:space="0"/>
            </w:tcBorders>
            <w:vAlign w:val="center"/>
          </w:tcPr>
          <w:p w14:paraId="526593E7">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副院长</w:t>
            </w:r>
          </w:p>
        </w:tc>
        <w:tc>
          <w:tcPr>
            <w:tcW w:w="1483" w:type="dxa"/>
            <w:tcBorders>
              <w:top w:val="single" w:color="auto" w:sz="4" w:space="0"/>
              <w:left w:val="single" w:color="auto" w:sz="4" w:space="0"/>
              <w:bottom w:val="single" w:color="auto" w:sz="4" w:space="0"/>
              <w:right w:val="single" w:color="auto" w:sz="4" w:space="0"/>
            </w:tcBorders>
            <w:vAlign w:val="center"/>
          </w:tcPr>
          <w:p w14:paraId="41C26EE2">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神经病学</w:t>
            </w:r>
          </w:p>
        </w:tc>
        <w:tc>
          <w:tcPr>
            <w:tcW w:w="2706" w:type="dxa"/>
            <w:tcBorders>
              <w:top w:val="single" w:color="auto" w:sz="4" w:space="0"/>
              <w:left w:val="single" w:color="auto" w:sz="4" w:space="0"/>
              <w:bottom w:val="single" w:color="auto" w:sz="4" w:space="0"/>
              <w:right w:val="single" w:color="auto" w:sz="4" w:space="0"/>
            </w:tcBorders>
            <w:vAlign w:val="center"/>
          </w:tcPr>
          <w:p w14:paraId="017812B3">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项目统筹</w:t>
            </w:r>
          </w:p>
        </w:tc>
      </w:tr>
      <w:tr w14:paraId="6A95E9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1118" w:type="dxa"/>
            <w:tcBorders>
              <w:top w:val="single" w:color="auto" w:sz="4" w:space="0"/>
              <w:left w:val="single" w:color="auto" w:sz="4" w:space="0"/>
              <w:bottom w:val="single" w:color="auto" w:sz="4" w:space="0"/>
              <w:right w:val="single" w:color="auto" w:sz="4" w:space="0"/>
            </w:tcBorders>
            <w:vAlign w:val="center"/>
          </w:tcPr>
          <w:p w14:paraId="7672A02B">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崔睿</w:t>
            </w:r>
          </w:p>
        </w:tc>
        <w:tc>
          <w:tcPr>
            <w:tcW w:w="2477" w:type="dxa"/>
            <w:tcBorders>
              <w:top w:val="single" w:color="auto" w:sz="4" w:space="0"/>
              <w:left w:val="single" w:color="auto" w:sz="4" w:space="0"/>
              <w:bottom w:val="single" w:color="auto" w:sz="4" w:space="0"/>
              <w:right w:val="single" w:color="auto" w:sz="4" w:space="0"/>
            </w:tcBorders>
            <w:vAlign w:val="center"/>
          </w:tcPr>
          <w:p w14:paraId="2828AF93">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深圳市妇幼保健院</w:t>
            </w:r>
          </w:p>
        </w:tc>
        <w:tc>
          <w:tcPr>
            <w:tcW w:w="1667" w:type="dxa"/>
            <w:tcBorders>
              <w:top w:val="single" w:color="auto" w:sz="4" w:space="0"/>
              <w:left w:val="single" w:color="auto" w:sz="4" w:space="0"/>
              <w:bottom w:val="single" w:color="auto" w:sz="4" w:space="0"/>
              <w:right w:val="single" w:color="auto" w:sz="4" w:space="0"/>
            </w:tcBorders>
            <w:vAlign w:val="center"/>
          </w:tcPr>
          <w:p w14:paraId="1309370B">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医务</w:t>
            </w:r>
            <w:r>
              <w:rPr>
                <w:rFonts w:hint="eastAsia" w:ascii="仿宋" w:hAnsi="仿宋" w:eastAsia="仿宋" w:cs="仿宋"/>
                <w:sz w:val="28"/>
                <w:szCs w:val="28"/>
                <w:highlight w:val="none"/>
                <w:lang w:val="en-US" w:eastAsia="zh-CN"/>
              </w:rPr>
              <w:t>科</w:t>
            </w:r>
            <w:r>
              <w:rPr>
                <w:rFonts w:hint="eastAsia" w:ascii="仿宋" w:hAnsi="仿宋" w:eastAsia="仿宋" w:cs="仿宋"/>
                <w:sz w:val="28"/>
                <w:szCs w:val="28"/>
                <w:highlight w:val="none"/>
                <w:lang w:val="zh-CN" w:eastAsia="zh-CN"/>
              </w:rPr>
              <w:t>科长</w:t>
            </w:r>
          </w:p>
        </w:tc>
        <w:tc>
          <w:tcPr>
            <w:tcW w:w="1483" w:type="dxa"/>
            <w:tcBorders>
              <w:top w:val="single" w:color="auto" w:sz="4" w:space="0"/>
              <w:left w:val="single" w:color="auto" w:sz="4" w:space="0"/>
              <w:bottom w:val="single" w:color="auto" w:sz="4" w:space="0"/>
              <w:right w:val="single" w:color="auto" w:sz="4" w:space="0"/>
            </w:tcBorders>
            <w:vAlign w:val="center"/>
          </w:tcPr>
          <w:p w14:paraId="79973833">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麻醉学</w:t>
            </w:r>
          </w:p>
        </w:tc>
        <w:tc>
          <w:tcPr>
            <w:tcW w:w="2706" w:type="dxa"/>
            <w:tcBorders>
              <w:top w:val="single" w:color="auto" w:sz="4" w:space="0"/>
              <w:left w:val="single" w:color="auto" w:sz="4" w:space="0"/>
              <w:bottom w:val="single" w:color="auto" w:sz="4" w:space="0"/>
              <w:right w:val="single" w:color="auto" w:sz="4" w:space="0"/>
            </w:tcBorders>
            <w:vAlign w:val="center"/>
          </w:tcPr>
          <w:p w14:paraId="7F31468B">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统筹协调，文献检索</w:t>
            </w:r>
          </w:p>
        </w:tc>
      </w:tr>
      <w:tr w14:paraId="256D03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1118" w:type="dxa"/>
            <w:tcBorders>
              <w:top w:val="single" w:color="auto" w:sz="4" w:space="0"/>
              <w:left w:val="single" w:color="auto" w:sz="4" w:space="0"/>
              <w:bottom w:val="single" w:color="auto" w:sz="4" w:space="0"/>
              <w:right w:val="single" w:color="auto" w:sz="4" w:space="0"/>
            </w:tcBorders>
            <w:vAlign w:val="center"/>
          </w:tcPr>
          <w:p w14:paraId="0BA7AD30">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梁锦峰</w:t>
            </w:r>
          </w:p>
        </w:tc>
        <w:tc>
          <w:tcPr>
            <w:tcW w:w="2477" w:type="dxa"/>
            <w:tcBorders>
              <w:top w:val="single" w:color="auto" w:sz="4" w:space="0"/>
              <w:left w:val="single" w:color="auto" w:sz="4" w:space="0"/>
              <w:bottom w:val="single" w:color="auto" w:sz="4" w:space="0"/>
              <w:right w:val="single" w:color="auto" w:sz="4" w:space="0"/>
            </w:tcBorders>
            <w:vAlign w:val="center"/>
          </w:tcPr>
          <w:p w14:paraId="20404470">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宝安区中心医院</w:t>
            </w:r>
          </w:p>
        </w:tc>
        <w:tc>
          <w:tcPr>
            <w:tcW w:w="1667" w:type="dxa"/>
            <w:tcBorders>
              <w:top w:val="single" w:color="auto" w:sz="4" w:space="0"/>
              <w:left w:val="single" w:color="auto" w:sz="4" w:space="0"/>
              <w:bottom w:val="single" w:color="auto" w:sz="4" w:space="0"/>
              <w:right w:val="single" w:color="auto" w:sz="4" w:space="0"/>
            </w:tcBorders>
            <w:vAlign w:val="center"/>
          </w:tcPr>
          <w:p w14:paraId="281440F3">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副院长</w:t>
            </w:r>
          </w:p>
        </w:tc>
        <w:tc>
          <w:tcPr>
            <w:tcW w:w="1483" w:type="dxa"/>
            <w:tcBorders>
              <w:top w:val="single" w:color="auto" w:sz="4" w:space="0"/>
              <w:left w:val="single" w:color="auto" w:sz="4" w:space="0"/>
              <w:bottom w:val="single" w:color="auto" w:sz="4" w:space="0"/>
              <w:right w:val="single" w:color="auto" w:sz="4" w:space="0"/>
            </w:tcBorders>
            <w:vAlign w:val="center"/>
          </w:tcPr>
          <w:p w14:paraId="56A50F3F">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卫生管理</w:t>
            </w:r>
          </w:p>
        </w:tc>
        <w:tc>
          <w:tcPr>
            <w:tcW w:w="2706" w:type="dxa"/>
            <w:tcBorders>
              <w:top w:val="single" w:color="auto" w:sz="4" w:space="0"/>
              <w:left w:val="single" w:color="auto" w:sz="4" w:space="0"/>
              <w:bottom w:val="single" w:color="auto" w:sz="4" w:space="0"/>
              <w:right w:val="single" w:color="auto" w:sz="4" w:space="0"/>
            </w:tcBorders>
            <w:vAlign w:val="center"/>
          </w:tcPr>
          <w:p w14:paraId="7BB2E165">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医疗纠纷预防规范相关部分</w:t>
            </w:r>
          </w:p>
        </w:tc>
      </w:tr>
      <w:tr w14:paraId="00DCF7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1118" w:type="dxa"/>
            <w:tcBorders>
              <w:top w:val="single" w:color="auto" w:sz="4" w:space="0"/>
              <w:left w:val="single" w:color="auto" w:sz="4" w:space="0"/>
              <w:bottom w:val="single" w:color="auto" w:sz="4" w:space="0"/>
              <w:right w:val="single" w:color="auto" w:sz="4" w:space="0"/>
            </w:tcBorders>
            <w:vAlign w:val="center"/>
          </w:tcPr>
          <w:p w14:paraId="4B6508E8">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刘岩松</w:t>
            </w:r>
          </w:p>
        </w:tc>
        <w:tc>
          <w:tcPr>
            <w:tcW w:w="2477" w:type="dxa"/>
            <w:tcBorders>
              <w:top w:val="single" w:color="auto" w:sz="4" w:space="0"/>
              <w:left w:val="single" w:color="auto" w:sz="4" w:space="0"/>
              <w:bottom w:val="single" w:color="auto" w:sz="4" w:space="0"/>
              <w:right w:val="single" w:color="auto" w:sz="4" w:space="0"/>
            </w:tcBorders>
            <w:vAlign w:val="center"/>
          </w:tcPr>
          <w:p w14:paraId="5967B8F1">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南山区人民医院</w:t>
            </w:r>
          </w:p>
        </w:tc>
        <w:tc>
          <w:tcPr>
            <w:tcW w:w="1667" w:type="dxa"/>
            <w:tcBorders>
              <w:top w:val="single" w:color="auto" w:sz="4" w:space="0"/>
              <w:left w:val="single" w:color="auto" w:sz="4" w:space="0"/>
              <w:bottom w:val="single" w:color="auto" w:sz="4" w:space="0"/>
              <w:right w:val="single" w:color="auto" w:sz="4" w:space="0"/>
            </w:tcBorders>
            <w:vAlign w:val="center"/>
          </w:tcPr>
          <w:p w14:paraId="7BE93D35">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副院长</w:t>
            </w:r>
          </w:p>
        </w:tc>
        <w:tc>
          <w:tcPr>
            <w:tcW w:w="1483" w:type="dxa"/>
            <w:tcBorders>
              <w:top w:val="single" w:color="auto" w:sz="4" w:space="0"/>
              <w:left w:val="single" w:color="auto" w:sz="4" w:space="0"/>
              <w:bottom w:val="single" w:color="auto" w:sz="4" w:space="0"/>
              <w:right w:val="single" w:color="auto" w:sz="4" w:space="0"/>
            </w:tcBorders>
            <w:vAlign w:val="center"/>
          </w:tcPr>
          <w:p w14:paraId="6FA67421">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外科学</w:t>
            </w:r>
          </w:p>
        </w:tc>
        <w:tc>
          <w:tcPr>
            <w:tcW w:w="2706" w:type="dxa"/>
            <w:tcBorders>
              <w:top w:val="single" w:color="auto" w:sz="4" w:space="0"/>
              <w:left w:val="single" w:color="auto" w:sz="4" w:space="0"/>
              <w:bottom w:val="single" w:color="auto" w:sz="4" w:space="0"/>
              <w:right w:val="single" w:color="auto" w:sz="4" w:space="0"/>
            </w:tcBorders>
            <w:vAlign w:val="center"/>
          </w:tcPr>
          <w:p w14:paraId="7FF56998">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医疔纠纷处置规范相关部分</w:t>
            </w:r>
          </w:p>
        </w:tc>
      </w:tr>
      <w:tr w14:paraId="55EFA2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1118" w:type="dxa"/>
            <w:tcBorders>
              <w:top w:val="single" w:color="auto" w:sz="4" w:space="0"/>
              <w:left w:val="single" w:color="auto" w:sz="4" w:space="0"/>
              <w:bottom w:val="single" w:color="auto" w:sz="4" w:space="0"/>
              <w:right w:val="single" w:color="auto" w:sz="4" w:space="0"/>
            </w:tcBorders>
            <w:vAlign w:val="center"/>
          </w:tcPr>
          <w:p w14:paraId="538EDDB5">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庄虹</w:t>
            </w:r>
          </w:p>
        </w:tc>
        <w:tc>
          <w:tcPr>
            <w:tcW w:w="2477" w:type="dxa"/>
            <w:tcBorders>
              <w:top w:val="single" w:color="auto" w:sz="4" w:space="0"/>
              <w:left w:val="single" w:color="auto" w:sz="4" w:space="0"/>
              <w:bottom w:val="single" w:color="auto" w:sz="4" w:space="0"/>
              <w:right w:val="single" w:color="auto" w:sz="4" w:space="0"/>
            </w:tcBorders>
            <w:vAlign w:val="center"/>
          </w:tcPr>
          <w:p w14:paraId="22C099E5">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龙岗区中心医院</w:t>
            </w:r>
          </w:p>
        </w:tc>
        <w:tc>
          <w:tcPr>
            <w:tcW w:w="1667" w:type="dxa"/>
            <w:tcBorders>
              <w:top w:val="single" w:color="auto" w:sz="4" w:space="0"/>
              <w:left w:val="single" w:color="auto" w:sz="4" w:space="0"/>
              <w:bottom w:val="single" w:color="auto" w:sz="4" w:space="0"/>
              <w:right w:val="single" w:color="auto" w:sz="4" w:space="0"/>
            </w:tcBorders>
            <w:vAlign w:val="center"/>
          </w:tcPr>
          <w:p w14:paraId="2175476F">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副院长</w:t>
            </w:r>
          </w:p>
        </w:tc>
        <w:tc>
          <w:tcPr>
            <w:tcW w:w="1483" w:type="dxa"/>
            <w:tcBorders>
              <w:top w:val="single" w:color="auto" w:sz="4" w:space="0"/>
              <w:left w:val="single" w:color="auto" w:sz="4" w:space="0"/>
              <w:bottom w:val="single" w:color="auto" w:sz="4" w:space="0"/>
              <w:right w:val="single" w:color="auto" w:sz="4" w:space="0"/>
            </w:tcBorders>
            <w:vAlign w:val="center"/>
          </w:tcPr>
          <w:p w14:paraId="585BD389">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呼吸病学</w:t>
            </w:r>
          </w:p>
        </w:tc>
        <w:tc>
          <w:tcPr>
            <w:tcW w:w="2706" w:type="dxa"/>
            <w:tcBorders>
              <w:top w:val="single" w:color="auto" w:sz="4" w:space="0"/>
              <w:left w:val="single" w:color="auto" w:sz="4" w:space="0"/>
              <w:bottom w:val="single" w:color="auto" w:sz="4" w:space="0"/>
              <w:right w:val="single" w:color="auto" w:sz="4" w:space="0"/>
            </w:tcBorders>
            <w:vAlign w:val="center"/>
          </w:tcPr>
          <w:p w14:paraId="2D18AA94">
            <w:pPr>
              <w:pStyle w:val="6"/>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zh-CN" w:eastAsia="zh-CN"/>
              </w:rPr>
              <w:t>医务管理相关部分</w:t>
            </w:r>
          </w:p>
        </w:tc>
      </w:tr>
    </w:tbl>
    <w:p w14:paraId="4DDE409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highlight w:val="none"/>
        </w:rPr>
        <w:t>1.4 主要工作过程</w:t>
      </w:r>
    </w:p>
    <w:p w14:paraId="4C9E436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（按时间顺序简述标准编制全流程，包含提案、立项、起草、征求意见、技术审查、报批各阶段关键工作）</w:t>
      </w:r>
    </w:p>
    <w:p w14:paraId="49D322B9">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2025年2月—2025年3月，项目组建了包含市区两级共13家医疗机构的编写团队，并召开“医疗纠纷防范及处置”地方标准工作推进会，组织对该标准的制订进行调研、验证，收集相关技术资料，确定标准起草的主要内容，完成标准草案起草。</w:t>
      </w:r>
    </w:p>
    <w:p w14:paraId="6870EAB0">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2025年3月—2025年7月，对标准草案初稿进行交叉互审，两轮团队内部交叉互审修改，不断完善标准内容和形式，满足政策要求和质量控制标准。</w:t>
      </w:r>
    </w:p>
    <w:p w14:paraId="5FF1A229">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2025年7月—2025年12月，整理资料，查阅标准、文献，编制标准草案，形成标准征求意见稿。</w:t>
      </w:r>
    </w:p>
    <w:p w14:paraId="4C43FDE7">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2026年1月14日，编制组根据《深圳市医师协会团体标准管理办法（试行）》的要求，向深圳市医师协会申请立项；2026年3月3日获批立项，立项文件号：深医协〔2026〕14号。</w:t>
      </w:r>
    </w:p>
    <w:p w14:paraId="4E0DA664">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2026年2月，深圳市标准技术研究院标准研究服务中心对标准进行查新，出具查新报告。</w:t>
      </w:r>
    </w:p>
    <w:p w14:paraId="7BA288CD">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2026年4月</w:t>
      </w:r>
      <w:r>
        <w:rPr>
          <w:rFonts w:hint="eastAsia" w:ascii="仿宋" w:hAnsi="仿宋" w:eastAsia="仿宋" w:cs="仿宋"/>
          <w:sz w:val="28"/>
          <w:szCs w:val="28"/>
          <w:highlight w:val="none"/>
          <w:lang w:val="en-US" w:eastAsia="zh-CN"/>
        </w:rPr>
        <w:t>10日-5月10</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通过全国标准信息平台和深圳市医师协会官方网站公开征求意见30日；经汇总梳理反馈意见，共收到意见9条，其中采纳意见5条，不采纳意见4条，并对不采纳或部分采纳意见说明理由，形成征求意见汇总处理表；</w:t>
      </w:r>
    </w:p>
    <w:p w14:paraId="24C83B16">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2026年</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lang w:eastAsia="zh-CN"/>
        </w:rPr>
        <w:t>月，根据反馈意见对标准进行整理修改，形成《医疗纠纷防范及处置规范》</w:t>
      </w:r>
      <w:r>
        <w:rPr>
          <w:rFonts w:hint="eastAsia" w:ascii="仿宋" w:hAnsi="仿宋" w:eastAsia="仿宋" w:cs="仿宋"/>
          <w:sz w:val="28"/>
          <w:szCs w:val="28"/>
          <w:highlight w:val="none"/>
          <w:lang w:val="en-US" w:eastAsia="zh-CN"/>
        </w:rPr>
        <w:t>修订稿</w:t>
      </w:r>
      <w:r>
        <w:rPr>
          <w:rFonts w:hint="eastAsia" w:ascii="仿宋" w:hAnsi="仿宋" w:eastAsia="仿宋" w:cs="仿宋"/>
          <w:sz w:val="28"/>
          <w:szCs w:val="28"/>
          <w:highlight w:val="none"/>
          <w:lang w:eastAsia="zh-CN"/>
        </w:rPr>
        <w:t>，报送评审。</w:t>
      </w:r>
    </w:p>
    <w:p w14:paraId="3450997E">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2026年5月22日，深圳市医师协会召开《医疗纠纷防范处置规范》团体标准评审会，参会表决总人数5人，5人表决同意通过审查，最终本标准顺利通过技术审查。</w:t>
      </w:r>
    </w:p>
    <w:p w14:paraId="637EEF76">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lang w:eastAsia="zh-CN"/>
        </w:rPr>
      </w:pPr>
      <w:r>
        <w:rPr>
          <w:rFonts w:hint="eastAsia" w:ascii="仿宋" w:hAnsi="仿宋" w:eastAsia="仿宋" w:cs="仿宋"/>
          <w:sz w:val="28"/>
          <w:szCs w:val="28"/>
          <w:highlight w:val="none"/>
          <w:lang w:eastAsia="zh-CN"/>
        </w:rPr>
        <w:t>2026年6月2日，本</w:t>
      </w:r>
      <w:r>
        <w:rPr>
          <w:rFonts w:hint="eastAsia" w:ascii="仿宋" w:hAnsi="仿宋" w:eastAsia="仿宋" w:cs="仿宋"/>
          <w:sz w:val="28"/>
          <w:szCs w:val="28"/>
          <w:highlight w:val="none"/>
          <w:lang w:val="en-US" w:eastAsia="zh-CN"/>
        </w:rPr>
        <w:t>团体标准</w:t>
      </w:r>
      <w:r>
        <w:rPr>
          <w:rFonts w:hint="eastAsia" w:ascii="仿宋" w:hAnsi="仿宋" w:eastAsia="仿宋" w:cs="仿宋"/>
          <w:sz w:val="28"/>
          <w:szCs w:val="28"/>
          <w:highlight w:val="none"/>
          <w:lang w:eastAsia="zh-CN"/>
        </w:rPr>
        <w:t>由深圳市医师协会发布，2026年6月5日实施。</w:t>
      </w:r>
    </w:p>
    <w:p w14:paraId="5AD3380D">
      <w:pPr>
        <w:pStyle w:val="6"/>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2026年10月，标准文件中因规范性引用文件B/T31458-</w:t>
      </w:r>
    </w:p>
    <w:p w14:paraId="4D586601">
      <w:pPr>
        <w:pStyle w:val="6"/>
        <w:keepNext w:val="0"/>
        <w:keepLines w:val="0"/>
        <w:pageBreakBefore w:val="0"/>
        <w:widowControl/>
        <w:numPr>
          <w:numId w:val="0"/>
        </w:numPr>
        <w:suppressLineNumbers w:val="0"/>
        <w:kinsoku/>
        <w:wordWrap/>
        <w:overflowPunct/>
        <w:topLinePunct w:val="0"/>
        <w:autoSpaceDE/>
        <w:autoSpaceDN/>
        <w:bidi w:val="0"/>
        <w:adjustRightInd w:val="0"/>
        <w:snapToGrid w:val="0"/>
        <w:spacing w:beforeAutospacing="0" w:afterAutospacing="0" w:line="460" w:lineRule="exact"/>
        <w:ind w:right="0" w:rightChars="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2015已作废，按国家标准修改单形式向深圳市医师协会提请修正，并公开挂网征求意见。</w:t>
      </w:r>
    </w:p>
    <w:p w14:paraId="6380F2C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rFonts w:hint="eastAsia" w:eastAsia="宋体"/>
          <w:highlight w:val="none"/>
          <w:lang w:eastAsia="zh-CN"/>
        </w:rPr>
        <w:t>2 标准编制原则和确定标准主要技术内容的依据</w:t>
      </w:r>
    </w:p>
    <w:p w14:paraId="41D0973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highlight w:val="none"/>
          <w:lang w:eastAsia="zh-CN"/>
        </w:rPr>
      </w:pPr>
      <w:r>
        <w:rPr>
          <w:highlight w:val="none"/>
        </w:rPr>
        <w:t>2.1 编制原则</w:t>
      </w:r>
    </w:p>
    <w:p w14:paraId="45497C3C">
      <w:pPr>
        <w:pStyle w:val="6"/>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合规性原则：符合《中华人民共和国标准化法》《团体标准管理规定》及地方相关标准化管理文件要求；本文件技术要求不低于现行强制性国家标准、行业标准、地方标准；强制性标准更新时，将适时开展评估复审。</w:t>
      </w:r>
    </w:p>
    <w:p w14:paraId="696C38AD">
      <w:pPr>
        <w:pStyle w:val="6"/>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市场需求导向：立足深圳市医疗纠纷防范与处置的实际需求，聚焦投诉受理、风险识别、病案管理、医患沟通、纠纷处置等关键环节，填补深圳医疗纠纷预防和处置流程标准化空白。</w:t>
      </w:r>
    </w:p>
    <w:p w14:paraId="2014EEAD">
      <w:pPr>
        <w:pStyle w:val="6"/>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技术先进、经济合理：科学合理利用资源，总结深圳市医疗机构医疗纠纷管理实践经验，提升医疗纠纷防范能力与处置规范化水平，兼顾经济效益、社会效益。</w:t>
      </w:r>
    </w:p>
    <w:p w14:paraId="1BB90AAE">
      <w:pPr>
        <w:pStyle w:val="6"/>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公平竞争原则：本文件内容不存在排除、限制市场竞争的情形，不设置排他性条款，不指定特定品牌、供应商。</w:t>
      </w:r>
    </w:p>
    <w:p w14:paraId="18CDD0A8">
      <w:pPr>
        <w:pStyle w:val="6"/>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格式规范：本文件按照GB/T 1.1—2020《标准化工作导则  第1部分：标准化文件的结构和起草规则》的规定起草。</w:t>
      </w:r>
    </w:p>
    <w:p w14:paraId="78FF3FC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highlight w:val="none"/>
        </w:rPr>
        <w:t>2.2 编制依据</w:t>
      </w:r>
    </w:p>
    <w:p w14:paraId="63198AA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列出</w:t>
      </w:r>
      <w:r>
        <w:rPr>
          <w:rFonts w:hint="eastAsia" w:ascii="仿宋" w:hAnsi="仿宋" w:eastAsia="仿宋" w:cs="仿宋"/>
          <w:sz w:val="28"/>
          <w:szCs w:val="28"/>
          <w:highlight w:val="none"/>
          <w:lang w:val="en-US" w:eastAsia="zh-CN"/>
        </w:rPr>
        <w:t>确定标准主要技术内容的依据，包括</w:t>
      </w:r>
      <w:r>
        <w:rPr>
          <w:rFonts w:hint="eastAsia" w:ascii="仿宋" w:hAnsi="仿宋" w:eastAsia="仿宋" w:cs="仿宋"/>
          <w:sz w:val="28"/>
          <w:szCs w:val="28"/>
          <w:highlight w:val="none"/>
          <w:lang w:eastAsia="zh-CN"/>
        </w:rPr>
        <w:t>：</w:t>
      </w:r>
    </w:p>
    <w:p w14:paraId="31440D63">
      <w:pPr>
        <w:pStyle w:val="6"/>
        <w:keepNext w:val="0"/>
        <w:keepLines w:val="0"/>
        <w:pageBreakBefore w:val="0"/>
        <w:widowControl/>
        <w:numPr>
          <w:ilvl w:val="0"/>
          <w:numId w:val="3"/>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法律规章：《中华人民共和国民法典》《医疗纠纷预防和处理条例》《医疗事故处理条例》《医疗机构投诉管理办法》《深圳经济特区医疗条例》《广东省医疗纠纷预防与处理办法》《医疗质量安全核心制度要点》《医疗机构病历管理规定》等；</w:t>
      </w:r>
    </w:p>
    <w:p w14:paraId="7E123AF0">
      <w:pPr>
        <w:pStyle w:val="6"/>
        <w:keepNext w:val="0"/>
        <w:keepLines w:val="0"/>
        <w:pageBreakBefore w:val="0"/>
        <w:widowControl/>
        <w:numPr>
          <w:ilvl w:val="0"/>
          <w:numId w:val="3"/>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基础性标准：GB/T 1.1</w:t>
      </w:r>
      <w:r>
        <w:rPr>
          <w:rFonts w:hint="eastAsia" w:ascii="仿宋" w:hAnsi="仿宋" w:eastAsia="仿宋" w:cs="仿宋"/>
          <w:sz w:val="28"/>
          <w:szCs w:val="28"/>
          <w:highlight w:val="none"/>
          <w:lang w:eastAsia="zh-CN"/>
        </w:rPr>
        <w:noBreakHyphen/>
      </w:r>
      <w:r>
        <w:rPr>
          <w:rFonts w:hint="eastAsia" w:ascii="仿宋" w:hAnsi="仿宋" w:eastAsia="仿宋" w:cs="仿宋"/>
          <w:sz w:val="28"/>
          <w:szCs w:val="28"/>
          <w:highlight w:val="none"/>
          <w:lang w:eastAsia="zh-CN"/>
        </w:rPr>
        <w:t>2020《标准化工作导则 第 1 部分：标准的结构和编写》；</w:t>
      </w:r>
    </w:p>
    <w:p w14:paraId="01CB437D">
      <w:pPr>
        <w:pStyle w:val="6"/>
        <w:keepNext w:val="0"/>
        <w:keepLines w:val="0"/>
        <w:pageBreakBefore w:val="0"/>
        <w:widowControl/>
        <w:numPr>
          <w:ilvl w:val="0"/>
          <w:numId w:val="3"/>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管理依据：《深圳市医师协会团体标准管理办法（试行）》；本</w:t>
      </w:r>
      <w:r>
        <w:rPr>
          <w:rFonts w:hint="eastAsia" w:ascii="仿宋" w:hAnsi="仿宋" w:eastAsia="仿宋" w:cs="仿宋"/>
          <w:sz w:val="28"/>
          <w:szCs w:val="28"/>
          <w:highlight w:val="none"/>
          <w:lang w:val="en-US" w:eastAsia="zh-CN"/>
        </w:rPr>
        <w:t>标准</w:t>
      </w:r>
      <w:r>
        <w:rPr>
          <w:rFonts w:hint="eastAsia" w:ascii="仿宋" w:hAnsi="仿宋" w:eastAsia="仿宋" w:cs="仿宋"/>
          <w:sz w:val="28"/>
          <w:szCs w:val="28"/>
          <w:highlight w:val="none"/>
          <w:lang w:eastAsia="zh-CN"/>
        </w:rPr>
        <w:t>结合深圳市医疗机构医疗纠纷管理实践经验制定。</w:t>
      </w:r>
    </w:p>
    <w:p w14:paraId="3429263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rFonts w:hint="eastAsia" w:eastAsia="宋体"/>
          <w:highlight w:val="none"/>
          <w:lang w:eastAsia="zh-CN"/>
        </w:rPr>
        <w:t>3 主要技术内容说明</w:t>
      </w:r>
    </w:p>
    <w:p w14:paraId="22B69563">
      <w:pPr>
        <w:pStyle w:val="6"/>
        <w:keepNext w:val="0"/>
        <w:keepLines w:val="0"/>
        <w:pageBreakBefore w:val="0"/>
        <w:widowControl/>
        <w:numPr>
          <w:ilvl w:val="0"/>
          <w:numId w:val="4"/>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范围</w:t>
      </w:r>
    </w:p>
    <w:p w14:paraId="63CE39E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标准规定了医疗机构医疗纠纷防范及处置的全流程管理，包括医疗机构建设、依法执业管控、风险识别与评估、病案管理、医患沟通与知情告知、医疗纠纷接待与处理、突发事件应急处理、多元化解途径选择和上报、证据的收集与固定、纠纷档案归档等内容。</w:t>
      </w:r>
    </w:p>
    <w:p w14:paraId="61CE942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本标准适用于深圳市各级各类医疗机构开展医疗纠纷防范及处置工作。</w:t>
      </w:r>
    </w:p>
    <w:p w14:paraId="62AED955">
      <w:pPr>
        <w:pStyle w:val="6"/>
        <w:keepNext w:val="0"/>
        <w:keepLines w:val="0"/>
        <w:pageBreakBefore w:val="0"/>
        <w:widowControl/>
        <w:numPr>
          <w:ilvl w:val="0"/>
          <w:numId w:val="4"/>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规范性引用文件</w:t>
      </w:r>
    </w:p>
    <w:p w14:paraId="0FDE301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GB 51039      综合医院建筑设计规范</w:t>
      </w:r>
    </w:p>
    <w:p w14:paraId="759EB2A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GB/T 31458    医院安全技术防范系统要求</w:t>
      </w:r>
    </w:p>
    <w:p w14:paraId="741AE40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GB/T 22239    信息安全技术—网络安全等级保护基本要求</w:t>
      </w:r>
      <w:r>
        <w:rPr>
          <w:rFonts w:hint="eastAsia" w:ascii="仿宋" w:hAnsi="仿宋" w:eastAsia="仿宋" w:cs="仿宋"/>
          <w:sz w:val="28"/>
          <w:szCs w:val="28"/>
          <w:highlight w:val="none"/>
          <w:lang w:val="en-US" w:eastAsia="zh-CN"/>
        </w:rPr>
        <w:tab/>
      </w:r>
    </w:p>
    <w:p w14:paraId="7D21F31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T/CIATCM 034  区块链电子病历存证应用指南</w:t>
      </w:r>
    </w:p>
    <w:p w14:paraId="29813C9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GB/T 18894    电子文件归档与电子档案管理规范</w:t>
      </w:r>
    </w:p>
    <w:p w14:paraId="25680633">
      <w:pPr>
        <w:pStyle w:val="6"/>
        <w:keepNext w:val="0"/>
        <w:keepLines w:val="0"/>
        <w:pageBreakBefore w:val="0"/>
        <w:widowControl/>
        <w:numPr>
          <w:ilvl w:val="0"/>
          <w:numId w:val="4"/>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术语和定义</w:t>
      </w:r>
    </w:p>
    <w:p w14:paraId="1B4C6FE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本标准规定了医疗纠纷、医疗风险、病历篡改、病历伪造、医疗告知、人民调解、医疗事故等术语的定义。</w:t>
      </w:r>
    </w:p>
    <w:p w14:paraId="27CFEC33">
      <w:pPr>
        <w:pStyle w:val="6"/>
        <w:keepNext w:val="0"/>
        <w:keepLines w:val="0"/>
        <w:pageBreakBefore w:val="0"/>
        <w:widowControl/>
        <w:numPr>
          <w:ilvl w:val="0"/>
          <w:numId w:val="4"/>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框架结构：</w:t>
      </w:r>
    </w:p>
    <w:p w14:paraId="4414FEC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前言</w:t>
      </w:r>
      <w:r>
        <w:rPr>
          <w:rFonts w:hint="eastAsia" w:ascii="仿宋" w:hAnsi="仿宋" w:eastAsia="仿宋" w:cs="仿宋"/>
          <w:sz w:val="28"/>
          <w:szCs w:val="28"/>
          <w:highlight w:val="none"/>
          <w:lang w:val="en-US" w:eastAsia="zh-CN"/>
        </w:rPr>
        <w:tab/>
      </w:r>
    </w:p>
    <w:p w14:paraId="3C43535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引言</w:t>
      </w:r>
      <w:r>
        <w:rPr>
          <w:rFonts w:hint="eastAsia" w:ascii="仿宋" w:hAnsi="仿宋" w:eastAsia="仿宋" w:cs="仿宋"/>
          <w:sz w:val="28"/>
          <w:szCs w:val="28"/>
          <w:highlight w:val="none"/>
          <w:lang w:val="en-US" w:eastAsia="zh-CN"/>
        </w:rPr>
        <w:tab/>
      </w:r>
    </w:p>
    <w:p w14:paraId="410A502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1.范围</w:t>
      </w:r>
      <w:r>
        <w:rPr>
          <w:rFonts w:hint="eastAsia" w:ascii="仿宋" w:hAnsi="仿宋" w:eastAsia="仿宋" w:cs="仿宋"/>
          <w:sz w:val="28"/>
          <w:szCs w:val="28"/>
          <w:highlight w:val="none"/>
          <w:lang w:val="en-US" w:eastAsia="zh-CN"/>
        </w:rPr>
        <w:tab/>
      </w:r>
    </w:p>
    <w:p w14:paraId="090323E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2.规范性引用文件</w:t>
      </w:r>
      <w:r>
        <w:rPr>
          <w:rFonts w:hint="eastAsia" w:ascii="仿宋" w:hAnsi="仿宋" w:eastAsia="仿宋" w:cs="仿宋"/>
          <w:sz w:val="28"/>
          <w:szCs w:val="28"/>
          <w:highlight w:val="none"/>
          <w:lang w:val="en-US" w:eastAsia="zh-CN"/>
        </w:rPr>
        <w:tab/>
      </w:r>
    </w:p>
    <w:p w14:paraId="3378F04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3.术语和定义</w:t>
      </w:r>
      <w:r>
        <w:rPr>
          <w:rFonts w:hint="eastAsia" w:ascii="仿宋" w:hAnsi="仿宋" w:eastAsia="仿宋" w:cs="仿宋"/>
          <w:sz w:val="28"/>
          <w:szCs w:val="28"/>
          <w:highlight w:val="none"/>
          <w:lang w:val="en-US" w:eastAsia="zh-CN"/>
        </w:rPr>
        <w:tab/>
      </w:r>
    </w:p>
    <w:p w14:paraId="4E4AF75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 医疗机构建设标准</w:t>
      </w:r>
      <w:r>
        <w:rPr>
          <w:rFonts w:hint="eastAsia" w:ascii="仿宋" w:hAnsi="仿宋" w:eastAsia="仿宋" w:cs="仿宋"/>
          <w:sz w:val="28"/>
          <w:szCs w:val="28"/>
          <w:highlight w:val="none"/>
          <w:lang w:val="en-US" w:eastAsia="zh-CN"/>
        </w:rPr>
        <w:tab/>
      </w:r>
    </w:p>
    <w:p w14:paraId="3BB9C3A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 依法执业管控方案</w:t>
      </w:r>
      <w:r>
        <w:rPr>
          <w:rFonts w:hint="eastAsia" w:ascii="仿宋" w:hAnsi="仿宋" w:eastAsia="仿宋" w:cs="仿宋"/>
          <w:sz w:val="28"/>
          <w:szCs w:val="28"/>
          <w:highlight w:val="none"/>
          <w:lang w:val="en-US" w:eastAsia="zh-CN"/>
        </w:rPr>
        <w:tab/>
      </w:r>
    </w:p>
    <w:p w14:paraId="43EFF9B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6. 医疗纠纷风险识别与评估</w:t>
      </w:r>
      <w:r>
        <w:rPr>
          <w:rFonts w:hint="eastAsia" w:ascii="仿宋" w:hAnsi="仿宋" w:eastAsia="仿宋" w:cs="仿宋"/>
          <w:sz w:val="28"/>
          <w:szCs w:val="28"/>
          <w:highlight w:val="none"/>
          <w:lang w:val="en-US" w:eastAsia="zh-CN"/>
        </w:rPr>
        <w:tab/>
      </w:r>
    </w:p>
    <w:p w14:paraId="51FF21D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 医疗纠纷防范中的病案管理</w:t>
      </w:r>
      <w:r>
        <w:rPr>
          <w:rFonts w:hint="eastAsia" w:ascii="仿宋" w:hAnsi="仿宋" w:eastAsia="仿宋" w:cs="仿宋"/>
          <w:sz w:val="28"/>
          <w:szCs w:val="28"/>
          <w:highlight w:val="none"/>
          <w:lang w:val="en-US" w:eastAsia="zh-CN"/>
        </w:rPr>
        <w:tab/>
      </w:r>
    </w:p>
    <w:p w14:paraId="3BE4B7E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8. 医患沟通和医疗告知</w:t>
      </w:r>
      <w:r>
        <w:rPr>
          <w:rFonts w:hint="eastAsia" w:ascii="仿宋" w:hAnsi="仿宋" w:eastAsia="仿宋" w:cs="仿宋"/>
          <w:sz w:val="28"/>
          <w:szCs w:val="28"/>
          <w:highlight w:val="none"/>
          <w:lang w:val="en-US" w:eastAsia="zh-CN"/>
        </w:rPr>
        <w:tab/>
      </w:r>
    </w:p>
    <w:p w14:paraId="47A4EA0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9. 医疗纠纷接待与处理</w:t>
      </w:r>
      <w:r>
        <w:rPr>
          <w:rFonts w:hint="eastAsia" w:ascii="仿宋" w:hAnsi="仿宋" w:eastAsia="仿宋" w:cs="仿宋"/>
          <w:sz w:val="28"/>
          <w:szCs w:val="28"/>
          <w:highlight w:val="none"/>
          <w:lang w:val="en-US" w:eastAsia="zh-CN"/>
        </w:rPr>
        <w:tab/>
      </w:r>
    </w:p>
    <w:p w14:paraId="739D83F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10. 医疗纠纷突发事件应急处理</w:t>
      </w:r>
      <w:r>
        <w:rPr>
          <w:rFonts w:hint="eastAsia" w:ascii="仿宋" w:hAnsi="仿宋" w:eastAsia="仿宋" w:cs="仿宋"/>
          <w:sz w:val="28"/>
          <w:szCs w:val="28"/>
          <w:highlight w:val="none"/>
          <w:lang w:val="en-US" w:eastAsia="zh-CN"/>
        </w:rPr>
        <w:tab/>
      </w:r>
    </w:p>
    <w:p w14:paraId="20EAF41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11. 医疗纠纷多元化解途径与上报</w:t>
      </w:r>
      <w:r>
        <w:rPr>
          <w:rFonts w:hint="eastAsia" w:ascii="仿宋" w:hAnsi="仿宋" w:eastAsia="仿宋" w:cs="仿宋"/>
          <w:sz w:val="28"/>
          <w:szCs w:val="28"/>
          <w:highlight w:val="none"/>
          <w:lang w:val="en-US" w:eastAsia="zh-CN"/>
        </w:rPr>
        <w:tab/>
      </w:r>
    </w:p>
    <w:p w14:paraId="6174E96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12. 医疗纠纷证据收集与固定</w:t>
      </w:r>
      <w:r>
        <w:rPr>
          <w:rFonts w:hint="eastAsia" w:ascii="仿宋" w:hAnsi="仿宋" w:eastAsia="仿宋" w:cs="仿宋"/>
          <w:sz w:val="28"/>
          <w:szCs w:val="28"/>
          <w:highlight w:val="none"/>
          <w:lang w:val="en-US" w:eastAsia="zh-CN"/>
        </w:rPr>
        <w:tab/>
      </w:r>
    </w:p>
    <w:p w14:paraId="66432C3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13. 医疗纠纷院内责任评估</w:t>
      </w:r>
      <w:r>
        <w:rPr>
          <w:rFonts w:hint="eastAsia" w:ascii="仿宋" w:hAnsi="仿宋" w:eastAsia="仿宋" w:cs="仿宋"/>
          <w:sz w:val="28"/>
          <w:szCs w:val="28"/>
          <w:highlight w:val="none"/>
          <w:lang w:val="en-US" w:eastAsia="zh-CN"/>
        </w:rPr>
        <w:tab/>
      </w:r>
    </w:p>
    <w:p w14:paraId="2045F4A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14. 医疗纠纷档案归档</w:t>
      </w:r>
      <w:r>
        <w:rPr>
          <w:rFonts w:hint="eastAsia" w:ascii="仿宋" w:hAnsi="仿宋" w:eastAsia="仿宋" w:cs="仿宋"/>
          <w:sz w:val="28"/>
          <w:szCs w:val="28"/>
          <w:highlight w:val="none"/>
          <w:lang w:val="en-US" w:eastAsia="zh-CN"/>
        </w:rPr>
        <w:tab/>
      </w:r>
    </w:p>
    <w:p w14:paraId="29D35D3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附录A（规范性）  医疗纠纷风险防控责任清单</w:t>
      </w:r>
      <w:r>
        <w:rPr>
          <w:rFonts w:hint="eastAsia" w:ascii="仿宋" w:hAnsi="仿宋" w:eastAsia="仿宋" w:cs="仿宋"/>
          <w:sz w:val="28"/>
          <w:szCs w:val="28"/>
          <w:highlight w:val="none"/>
          <w:lang w:val="en-US" w:eastAsia="zh-CN"/>
        </w:rPr>
        <w:tab/>
      </w:r>
    </w:p>
    <w:p w14:paraId="56DDB95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附录B（资料性）  医患沟通记录单基本要素</w:t>
      </w:r>
      <w:r>
        <w:rPr>
          <w:rFonts w:hint="eastAsia" w:ascii="仿宋" w:hAnsi="仿宋" w:eastAsia="仿宋" w:cs="仿宋"/>
          <w:sz w:val="28"/>
          <w:szCs w:val="28"/>
          <w:highlight w:val="none"/>
          <w:lang w:val="en-US" w:eastAsia="zh-CN"/>
        </w:rPr>
        <w:tab/>
      </w:r>
    </w:p>
    <w:p w14:paraId="23081B9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附录C（资料性）  知情同意书基本要素</w:t>
      </w:r>
      <w:r>
        <w:rPr>
          <w:rFonts w:hint="eastAsia" w:ascii="仿宋" w:hAnsi="仿宋" w:eastAsia="仿宋" w:cs="仿宋"/>
          <w:sz w:val="28"/>
          <w:szCs w:val="28"/>
          <w:highlight w:val="none"/>
          <w:lang w:val="en-US" w:eastAsia="zh-CN"/>
        </w:rPr>
        <w:tab/>
      </w:r>
    </w:p>
    <w:p w14:paraId="7672035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附录D（规范性）  医疗纠纷和解与谈判要求</w:t>
      </w:r>
      <w:r>
        <w:rPr>
          <w:rFonts w:hint="eastAsia" w:ascii="仿宋" w:hAnsi="仿宋" w:eastAsia="仿宋" w:cs="仿宋"/>
          <w:sz w:val="28"/>
          <w:szCs w:val="28"/>
          <w:highlight w:val="none"/>
          <w:lang w:val="en-US" w:eastAsia="zh-CN"/>
        </w:rPr>
        <w:tab/>
      </w:r>
    </w:p>
    <w:p w14:paraId="75B76E3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附录E（规范性）  医疗纠纷化解途径选择流程</w:t>
      </w:r>
      <w:r>
        <w:rPr>
          <w:rFonts w:hint="eastAsia" w:ascii="仿宋" w:hAnsi="仿宋" w:eastAsia="仿宋" w:cs="仿宋"/>
          <w:sz w:val="28"/>
          <w:szCs w:val="28"/>
          <w:highlight w:val="none"/>
          <w:lang w:val="en-US" w:eastAsia="zh-CN"/>
        </w:rPr>
        <w:tab/>
      </w:r>
    </w:p>
    <w:p w14:paraId="49A8E3E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附录F（规范性）  第三方人民调解流程图</w:t>
      </w:r>
      <w:r>
        <w:rPr>
          <w:rFonts w:hint="eastAsia" w:ascii="仿宋" w:hAnsi="仿宋" w:eastAsia="仿宋" w:cs="仿宋"/>
          <w:sz w:val="28"/>
          <w:szCs w:val="28"/>
          <w:highlight w:val="none"/>
          <w:lang w:val="en-US" w:eastAsia="zh-CN"/>
        </w:rPr>
        <w:tab/>
      </w:r>
    </w:p>
    <w:p w14:paraId="7D4FF80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附录G（规范性）  医疗纠纷仲裁流程图</w:t>
      </w:r>
      <w:r>
        <w:rPr>
          <w:rFonts w:hint="eastAsia" w:ascii="仿宋" w:hAnsi="仿宋" w:eastAsia="仿宋" w:cs="仿宋"/>
          <w:sz w:val="28"/>
          <w:szCs w:val="28"/>
          <w:highlight w:val="none"/>
          <w:lang w:val="en-US" w:eastAsia="zh-CN"/>
        </w:rPr>
        <w:tab/>
      </w:r>
    </w:p>
    <w:p w14:paraId="0E25C90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附录H（规范性）  医疗纠纷诉讼流程图</w:t>
      </w:r>
      <w:r>
        <w:rPr>
          <w:rFonts w:hint="eastAsia" w:ascii="仿宋" w:hAnsi="仿宋" w:eastAsia="仿宋" w:cs="仿宋"/>
          <w:sz w:val="28"/>
          <w:szCs w:val="28"/>
          <w:highlight w:val="none"/>
          <w:lang w:val="en-US" w:eastAsia="zh-CN"/>
        </w:rPr>
        <w:tab/>
      </w:r>
    </w:p>
    <w:p w14:paraId="1996D00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附录I（规范性）  医疗纠纷上报流程图</w:t>
      </w:r>
      <w:r>
        <w:rPr>
          <w:rFonts w:hint="eastAsia" w:ascii="仿宋" w:hAnsi="仿宋" w:eastAsia="仿宋" w:cs="仿宋"/>
          <w:sz w:val="28"/>
          <w:szCs w:val="28"/>
          <w:highlight w:val="none"/>
          <w:lang w:val="en-US" w:eastAsia="zh-CN"/>
        </w:rPr>
        <w:tab/>
      </w:r>
    </w:p>
    <w:p w14:paraId="1FD252B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附录J（资料性）  医疗纠纷档案分类及材料清单</w:t>
      </w:r>
      <w:r>
        <w:rPr>
          <w:rFonts w:hint="eastAsia" w:ascii="仿宋" w:hAnsi="仿宋" w:eastAsia="仿宋" w:cs="仿宋"/>
          <w:sz w:val="28"/>
          <w:szCs w:val="28"/>
          <w:highlight w:val="none"/>
          <w:lang w:val="en-US" w:eastAsia="zh-CN"/>
        </w:rPr>
        <w:tab/>
      </w:r>
    </w:p>
    <w:p w14:paraId="2EA2340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参考文献</w:t>
      </w:r>
    </w:p>
    <w:p w14:paraId="4FBCCC4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p>
    <w:p w14:paraId="72D59F0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rFonts w:hint="eastAsia" w:eastAsia="宋体"/>
          <w:highlight w:val="none"/>
          <w:lang w:val="en-US" w:eastAsia="zh-CN"/>
        </w:rPr>
        <w:t>4</w:t>
      </w:r>
      <w:r>
        <w:rPr>
          <w:rFonts w:hint="eastAsia" w:eastAsia="宋体"/>
          <w:highlight w:val="none"/>
          <w:lang w:eastAsia="zh-CN"/>
        </w:rPr>
        <w:t xml:space="preserve"> 与现行法律法规、强制性标准及相关标准的关系</w:t>
      </w:r>
    </w:p>
    <w:p w14:paraId="6DDDF11B">
      <w:pPr>
        <w:pStyle w:val="6"/>
        <w:keepNext w:val="0"/>
        <w:keepLines w:val="0"/>
        <w:pageBreakBefore w:val="0"/>
        <w:widowControl/>
        <w:numPr>
          <w:ilvl w:val="0"/>
          <w:numId w:val="5"/>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本文件内容符合《中华人民共和国民法典》《医疗纠纷预防和处理条例》《深圳经济特区医疗条例》等国家相关法律法规要求。</w:t>
      </w:r>
    </w:p>
    <w:p w14:paraId="54AD47AE">
      <w:pPr>
        <w:pStyle w:val="6"/>
        <w:keepNext w:val="0"/>
        <w:keepLines w:val="0"/>
        <w:pageBreakBefore w:val="0"/>
        <w:widowControl/>
        <w:numPr>
          <w:ilvl w:val="0"/>
          <w:numId w:val="5"/>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本文件所有技术要求均不低于现行强制性国家标准、行业标准、地方标准。</w:t>
      </w:r>
    </w:p>
    <w:p w14:paraId="38E8B6FB">
      <w:pPr>
        <w:pStyle w:val="6"/>
        <w:keepNext w:val="0"/>
        <w:keepLines w:val="0"/>
        <w:pageBreakBefore w:val="0"/>
        <w:widowControl/>
        <w:numPr>
          <w:ilvl w:val="0"/>
          <w:numId w:val="5"/>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关键技术指标与现行相关标准的比对情况，见下表：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7"/>
        <w:gridCol w:w="3197"/>
        <w:gridCol w:w="3278"/>
      </w:tblGrid>
      <w:tr w14:paraId="2088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dxa"/>
            <w:vAlign w:val="center"/>
          </w:tcPr>
          <w:p w14:paraId="4C2CC894">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eastAsia="zh-CN"/>
              </w:rPr>
              <w:t>技术指标类型</w:t>
            </w:r>
          </w:p>
        </w:tc>
        <w:tc>
          <w:tcPr>
            <w:tcW w:w="3197" w:type="dxa"/>
            <w:vAlign w:val="center"/>
          </w:tcPr>
          <w:p w14:paraId="7B2E2776">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eastAsia="zh-CN"/>
              </w:rPr>
              <w:t>本文件</w:t>
            </w:r>
          </w:p>
        </w:tc>
        <w:tc>
          <w:tcPr>
            <w:tcW w:w="3278" w:type="dxa"/>
            <w:vAlign w:val="center"/>
          </w:tcPr>
          <w:p w14:paraId="4F0EC392">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eastAsia="zh-CN"/>
              </w:rPr>
              <w:t>DB15/T 2070—2021《医疗纠纷人民调解》</w:t>
            </w:r>
          </w:p>
        </w:tc>
      </w:tr>
      <w:tr w14:paraId="2F9A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dxa"/>
            <w:vAlign w:val="center"/>
          </w:tcPr>
          <w:p w14:paraId="28058A11">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eastAsia="zh-CN"/>
              </w:rPr>
              <w:t>标准化对象</w:t>
            </w:r>
          </w:p>
        </w:tc>
        <w:tc>
          <w:tcPr>
            <w:tcW w:w="3197" w:type="dxa"/>
            <w:vAlign w:val="center"/>
          </w:tcPr>
          <w:p w14:paraId="754AE79D">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医疗纠纷防范及处置全流程管理</w:t>
            </w:r>
          </w:p>
        </w:tc>
        <w:tc>
          <w:tcPr>
            <w:tcW w:w="3278" w:type="dxa"/>
            <w:vAlign w:val="center"/>
          </w:tcPr>
          <w:p w14:paraId="4A30B328">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医疗纠纷人民调解</w:t>
            </w:r>
          </w:p>
        </w:tc>
      </w:tr>
      <w:tr w14:paraId="6389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dxa"/>
            <w:vAlign w:val="center"/>
          </w:tcPr>
          <w:p w14:paraId="02972155">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适用范围</w:t>
            </w:r>
          </w:p>
        </w:tc>
        <w:tc>
          <w:tcPr>
            <w:tcW w:w="3197" w:type="dxa"/>
            <w:vAlign w:val="center"/>
          </w:tcPr>
          <w:p w14:paraId="41DB6D9D">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各级各类医疗机构</w:t>
            </w:r>
          </w:p>
        </w:tc>
        <w:tc>
          <w:tcPr>
            <w:tcW w:w="3278" w:type="dxa"/>
            <w:vAlign w:val="center"/>
          </w:tcPr>
          <w:p w14:paraId="42FAC6D6">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医疗纠纷人民调解工作</w:t>
            </w:r>
          </w:p>
        </w:tc>
      </w:tr>
      <w:tr w14:paraId="5737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dxa"/>
            <w:vAlign w:val="center"/>
          </w:tcPr>
          <w:p w14:paraId="59936308">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内容覆盖</w:t>
            </w:r>
          </w:p>
        </w:tc>
        <w:tc>
          <w:tcPr>
            <w:tcW w:w="3197" w:type="dxa"/>
            <w:vAlign w:val="center"/>
          </w:tcPr>
          <w:p w14:paraId="4A0B5D33">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涵盖防范与处置全链条，含14章及10个附录</w:t>
            </w:r>
          </w:p>
        </w:tc>
        <w:tc>
          <w:tcPr>
            <w:tcW w:w="3278" w:type="dxa"/>
            <w:vAlign w:val="center"/>
          </w:tcPr>
          <w:p w14:paraId="26356046">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Chars="0" w:right="0" w:right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聚焦人民调解单一环节</w:t>
            </w:r>
          </w:p>
        </w:tc>
      </w:tr>
    </w:tbl>
    <w:p w14:paraId="547446C8">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60" w:lineRule="exact"/>
        <w:ind w:leftChars="0" w:right="0" w:rightChars="0"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综上，本文件技术指标均不低于现行相关标准。</w:t>
      </w:r>
    </w:p>
    <w:p w14:paraId="4620E7D2">
      <w:pPr>
        <w:pStyle w:val="6"/>
        <w:keepNext w:val="0"/>
        <w:keepLines w:val="0"/>
        <w:pageBreakBefore w:val="0"/>
        <w:widowControl/>
        <w:numPr>
          <w:ilvl w:val="0"/>
          <w:numId w:val="5"/>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本文件与现行国家标准、行业标准、地方标准之间不存在大量重复的情形。目前仅有法规、规章等文件为医疗纠纷预防和处理提供宏观指导，仅《医疗纠纷人民调解》（DB15/T 2070）地方标准针对“人民调解”进行标准化，本文件填补了医疗纠纷防范和处置全流程标准化的空白。</w:t>
      </w:r>
    </w:p>
    <w:p w14:paraId="13F3E03E">
      <w:pPr>
        <w:pStyle w:val="6"/>
        <w:keepNext w:val="0"/>
        <w:keepLines w:val="0"/>
        <w:pageBreakBefore w:val="0"/>
        <w:widowControl/>
        <w:numPr>
          <w:ilvl w:val="0"/>
          <w:numId w:val="5"/>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本文件不存在与现行国家产业政策相抵触的内容，标准化对象不属于《产业结构调整指导目录》中的淘汰类领域。</w:t>
      </w:r>
    </w:p>
    <w:p w14:paraId="64D5279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rFonts w:hint="eastAsia"/>
          <w:highlight w:val="none"/>
          <w:lang w:val="en-US" w:eastAsia="zh-CN"/>
        </w:rPr>
        <w:t>5</w:t>
      </w:r>
      <w:r>
        <w:rPr>
          <w:highlight w:val="none"/>
        </w:rPr>
        <w:t xml:space="preserve"> 重大分歧意见的处理经过和依据</w:t>
      </w:r>
    </w:p>
    <w:p w14:paraId="1B614FE7">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460" w:lineRule="exact"/>
        <w:ind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本标准编制过程未出现重大分歧意见。</w:t>
      </w:r>
    </w:p>
    <w:p w14:paraId="6070054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rFonts w:hint="eastAsia"/>
          <w:highlight w:val="none"/>
          <w:lang w:val="en-US" w:eastAsia="zh-CN"/>
        </w:rPr>
        <w:t>6</w:t>
      </w:r>
      <w:r>
        <w:rPr>
          <w:highlight w:val="none"/>
        </w:rPr>
        <w:t xml:space="preserve"> 标准实施建议</w:t>
      </w:r>
    </w:p>
    <w:p w14:paraId="506AA30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highlight w:val="none"/>
        </w:rPr>
      </w:pPr>
      <w:r>
        <w:rPr>
          <w:rFonts w:hint="eastAsia"/>
          <w:highlight w:val="none"/>
          <w:lang w:val="en-US" w:eastAsia="zh-CN"/>
        </w:rPr>
        <w:t>6</w:t>
      </w:r>
      <w:r>
        <w:rPr>
          <w:highlight w:val="none"/>
        </w:rPr>
        <w:t>.1 实施方式</w:t>
      </w:r>
    </w:p>
    <w:p w14:paraId="2BE514E5">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60" w:lineRule="exact"/>
        <w:ind w:leftChars="0" w:right="0" w:rightChars="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（根据协会的团体标准管理规定给出相关实施要求）</w:t>
      </w:r>
    </w:p>
    <w:p w14:paraId="1C15AFB7">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60" w:lineRule="exact"/>
        <w:ind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本团体标准供社会自愿采用。不将缴费、培训、购买服务、取得指定机构检测结果等作为采用本文件的不合理前置条件。不得依据本团体标准，以表彰、评奖、发文授牌形式开展认定命名活动。</w:t>
      </w:r>
    </w:p>
    <w:p w14:paraId="58FB5C3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highlight w:val="none"/>
        </w:rPr>
      </w:pPr>
      <w:r>
        <w:rPr>
          <w:rFonts w:hint="eastAsia"/>
          <w:highlight w:val="none"/>
          <w:lang w:val="en-US" w:eastAsia="zh-CN"/>
        </w:rPr>
        <w:t>6</w:t>
      </w:r>
      <w:r>
        <w:rPr>
          <w:highlight w:val="none"/>
        </w:rPr>
        <w:t>.2 实施建议</w:t>
      </w:r>
    </w:p>
    <w:p w14:paraId="64008E50">
      <w:pPr>
        <w:pStyle w:val="6"/>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建议依托深圳市医务管理质量控制中心举办本团体标准宣贯培训班，推动标准全面实施落地；</w:t>
      </w:r>
    </w:p>
    <w:p w14:paraId="0152BAAF">
      <w:pPr>
        <w:pStyle w:val="6"/>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建议深圳市医师协会开展标准宣贯、培训、推广应用，鼓励医疗机构采信本文件；</w:t>
      </w:r>
    </w:p>
    <w:p w14:paraId="366BC479">
      <w:pPr>
        <w:pStyle w:val="6"/>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后续按团体标准管理制度开展定期复审；当相关强制性标准发生更新时，及时评估，必要时启动复审修订。</w:t>
      </w:r>
    </w:p>
    <w:p w14:paraId="76754940">
      <w:pPr>
        <w:pStyle w:val="6"/>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Autospacing="0" w:afterAutospacing="0" w:line="460" w:lineRule="exact"/>
        <w:ind w:left="0"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本标准实施效果良好，满足条件时，可申请转化为国家标准、行业标准或地方标准。</w:t>
      </w:r>
    </w:p>
    <w:p w14:paraId="1E90E0B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textAlignment w:val="auto"/>
        <w:rPr>
          <w:rFonts w:hint="eastAsia" w:eastAsia="宋体"/>
          <w:highlight w:val="none"/>
          <w:lang w:eastAsia="zh-CN"/>
        </w:rPr>
      </w:pPr>
      <w:r>
        <w:rPr>
          <w:rFonts w:hint="eastAsia"/>
          <w:highlight w:val="none"/>
          <w:lang w:val="en-US" w:eastAsia="zh-CN"/>
        </w:rPr>
        <w:t>7</w:t>
      </w:r>
      <w:r>
        <w:rPr>
          <w:highlight w:val="none"/>
        </w:rPr>
        <w:t xml:space="preserve"> 其他应予说明的事项</w:t>
      </w:r>
      <w:bookmarkStart w:id="0" w:name="_GoBack"/>
      <w:bookmarkEnd w:id="0"/>
    </w:p>
    <w:p w14:paraId="3956C8B7">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60" w:lineRule="exact"/>
        <w:ind w:leftChars="0" w:right="0" w:righ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无。</w:t>
      </w:r>
    </w:p>
    <w:p w14:paraId="59640DE7">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60" w:lineRule="exact"/>
        <w:ind w:leftChars="0" w:right="0" w:rightChars="0"/>
        <w:textAlignment w:val="auto"/>
        <w:rPr>
          <w:rFonts w:hint="eastAsia" w:ascii="仿宋" w:hAnsi="仿宋" w:eastAsia="仿宋" w:cs="仿宋"/>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4D258"/>
    <w:multiLevelType w:val="singleLevel"/>
    <w:tmpl w:val="8974D258"/>
    <w:lvl w:ilvl="0" w:tentative="0">
      <w:start w:val="1"/>
      <w:numFmt w:val="decimal"/>
      <w:suff w:val="nothing"/>
      <w:lvlText w:val="（%1）"/>
      <w:lvlJc w:val="left"/>
      <w:pPr>
        <w:ind w:left="425" w:hanging="425"/>
      </w:pPr>
      <w:rPr>
        <w:rFonts w:hint="default"/>
      </w:rPr>
    </w:lvl>
  </w:abstractNum>
  <w:abstractNum w:abstractNumId="1">
    <w:nsid w:val="94639A61"/>
    <w:multiLevelType w:val="singleLevel"/>
    <w:tmpl w:val="94639A61"/>
    <w:lvl w:ilvl="0" w:tentative="0">
      <w:start w:val="1"/>
      <w:numFmt w:val="decimal"/>
      <w:suff w:val="nothing"/>
      <w:lvlText w:val="（%1）"/>
      <w:lvlJc w:val="left"/>
      <w:pPr>
        <w:ind w:left="425" w:hanging="425"/>
      </w:pPr>
      <w:rPr>
        <w:rFonts w:hint="default"/>
      </w:rPr>
    </w:lvl>
  </w:abstractNum>
  <w:abstractNum w:abstractNumId="2">
    <w:nsid w:val="A787EAA1"/>
    <w:multiLevelType w:val="singleLevel"/>
    <w:tmpl w:val="A787EAA1"/>
    <w:lvl w:ilvl="0" w:tentative="0">
      <w:start w:val="1"/>
      <w:numFmt w:val="decimal"/>
      <w:suff w:val="nothing"/>
      <w:lvlText w:val="（%1）"/>
      <w:lvlJc w:val="left"/>
      <w:pPr>
        <w:ind w:left="425" w:hanging="425"/>
      </w:pPr>
      <w:rPr>
        <w:rFonts w:hint="default"/>
      </w:rPr>
    </w:lvl>
  </w:abstractNum>
  <w:abstractNum w:abstractNumId="3">
    <w:nsid w:val="08C0CB7B"/>
    <w:multiLevelType w:val="singleLevel"/>
    <w:tmpl w:val="08C0CB7B"/>
    <w:lvl w:ilvl="0" w:tentative="0">
      <w:start w:val="1"/>
      <w:numFmt w:val="decimal"/>
      <w:suff w:val="nothing"/>
      <w:lvlText w:val="（%1）"/>
      <w:lvlJc w:val="left"/>
      <w:pPr>
        <w:ind w:left="425" w:hanging="425"/>
      </w:pPr>
      <w:rPr>
        <w:rFonts w:hint="default"/>
      </w:rPr>
    </w:lvl>
  </w:abstractNum>
  <w:abstractNum w:abstractNumId="4">
    <w:nsid w:val="3A88ECDB"/>
    <w:multiLevelType w:val="singleLevel"/>
    <w:tmpl w:val="3A88ECDB"/>
    <w:lvl w:ilvl="0" w:tentative="0">
      <w:start w:val="1"/>
      <w:numFmt w:val="decimal"/>
      <w:suff w:val="nothing"/>
      <w:lvlText w:val="（%1）"/>
      <w:lvlJc w:val="left"/>
      <w:pPr>
        <w:ind w:left="425" w:hanging="425"/>
      </w:pPr>
      <w:rPr>
        <w:rFonts w:hint="default"/>
      </w:rPr>
    </w:lvl>
  </w:abstractNum>
  <w:abstractNum w:abstractNumId="5">
    <w:nsid w:val="46E44CE4"/>
    <w:multiLevelType w:val="singleLevel"/>
    <w:tmpl w:val="46E44CE4"/>
    <w:lvl w:ilvl="0" w:tentative="0">
      <w:start w:val="1"/>
      <w:numFmt w:val="decimal"/>
      <w:suff w:val="nothing"/>
      <w:lvlText w:val="（%1）"/>
      <w:lvlJc w:val="left"/>
      <w:pPr>
        <w:ind w:left="425" w:hanging="425"/>
      </w:pPr>
      <w:rPr>
        <w:rFonts w:hint="default"/>
      </w:r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F6933"/>
    <w:rsid w:val="017D7CB0"/>
    <w:rsid w:val="03BB1D6C"/>
    <w:rsid w:val="06E55D08"/>
    <w:rsid w:val="074B3407"/>
    <w:rsid w:val="08C71160"/>
    <w:rsid w:val="0D4C1C87"/>
    <w:rsid w:val="0E32168F"/>
    <w:rsid w:val="0EFF64B5"/>
    <w:rsid w:val="10196798"/>
    <w:rsid w:val="12E36BE9"/>
    <w:rsid w:val="167A1613"/>
    <w:rsid w:val="167A7865"/>
    <w:rsid w:val="16B20022"/>
    <w:rsid w:val="170A6E3A"/>
    <w:rsid w:val="17494F2B"/>
    <w:rsid w:val="17BB0C22"/>
    <w:rsid w:val="19E40662"/>
    <w:rsid w:val="1AFD0A64"/>
    <w:rsid w:val="1D046999"/>
    <w:rsid w:val="1D97437C"/>
    <w:rsid w:val="1E256308"/>
    <w:rsid w:val="21C27CB0"/>
    <w:rsid w:val="24FE7EC9"/>
    <w:rsid w:val="2B577004"/>
    <w:rsid w:val="2CFF6933"/>
    <w:rsid w:val="2FFA3A98"/>
    <w:rsid w:val="32285C55"/>
    <w:rsid w:val="348A4CBF"/>
    <w:rsid w:val="375565D3"/>
    <w:rsid w:val="37CB7F0A"/>
    <w:rsid w:val="39ED7DCD"/>
    <w:rsid w:val="3F134F7F"/>
    <w:rsid w:val="3F497FE2"/>
    <w:rsid w:val="45934B33"/>
    <w:rsid w:val="461024ED"/>
    <w:rsid w:val="508D7BB9"/>
    <w:rsid w:val="52FB4C31"/>
    <w:rsid w:val="58A40196"/>
    <w:rsid w:val="58D8399B"/>
    <w:rsid w:val="6231070C"/>
    <w:rsid w:val="65BE7E07"/>
    <w:rsid w:val="68BC0BE4"/>
    <w:rsid w:val="6D187295"/>
    <w:rsid w:val="75BF3AC1"/>
    <w:rsid w:val="774F6251"/>
    <w:rsid w:val="784B5AE0"/>
    <w:rsid w:val="78B566AA"/>
    <w:rsid w:val="7CC540B3"/>
    <w:rsid w:val="7E877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50" w:beforeLines="50" w:beforeAutospacing="0" w:after="50" w:afterLines="50" w:afterAutospacing="0"/>
      <w:jc w:val="left"/>
      <w:outlineLvl w:val="1"/>
    </w:pPr>
    <w:rPr>
      <w:rFonts w:hint="eastAsia" w:ascii="宋体" w:hAnsi="宋体" w:eastAsia="宋体" w:cs="宋体"/>
      <w:b/>
      <w:bCs/>
      <w:kern w:val="0"/>
      <w:sz w:val="36"/>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120" w:firstLine="559"/>
    </w:pPr>
    <w:rPr>
      <w:rFonts w:ascii="宋体" w:hAnsi="宋体" w:eastAsia="宋体"/>
      <w:sz w:val="28"/>
      <w:szCs w:val="2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4634</Words>
  <Characters>4915</Characters>
  <Lines>0</Lines>
  <Paragraphs>0</Paragraphs>
  <TotalTime>0</TotalTime>
  <ScaleCrop>false</ScaleCrop>
  <LinksUpToDate>false</LinksUpToDate>
  <CharactersWithSpaces>5028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2026-09-16T07:03:00Z</dcterms:created>
  <dc:creator>秋天</dc:creator>
  <cp:lastModifiedBy>Fanny-亚帆</cp:lastModifiedBy>
  <dcterms:modified xsi:type="dcterms:W3CDTF">2026-10-12T08:17:30Z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97A365DB988E42189BC3F3DAF4EA432E_13</vt:lpwstr>
  </property>
  <property fmtid="{D5CDD505-2E9C-101B-9397-08002B2CF9AE}" pid="4" name="KSOTemplateDocerSaveRecord">
    <vt:lpwstr>eyJoZGlkIjoiYWMzMTZmZmNkNDJlNmJhZDQ0YmJmNGZkZGNkNTg1MWQiLCJ1c2VySWQiOiIzNjc1MTAzMjYifQ==</vt:lpwstr>
  </property>
</Properties>
</file>